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8050" w14:textId="302EB5F0" w:rsidR="000E4592" w:rsidRPr="008046F6" w:rsidRDefault="00B13FA0">
      <w:pPr>
        <w:rPr>
          <w:rFonts w:cstheme="minorHAnsi"/>
          <w:b/>
          <w:bCs/>
        </w:rPr>
      </w:pPr>
      <w:r w:rsidRPr="008046F6">
        <w:rPr>
          <w:rFonts w:cstheme="minorHAnsi"/>
          <w:b/>
          <w:bCs/>
        </w:rPr>
        <w:t>News</w:t>
      </w:r>
      <w:r w:rsidR="00101E98" w:rsidRPr="008046F6">
        <w:rPr>
          <w:rFonts w:cstheme="minorHAnsi"/>
          <w:b/>
          <w:bCs/>
        </w:rPr>
        <w:t xml:space="preserve"> release</w:t>
      </w:r>
    </w:p>
    <w:p w14:paraId="25112EAB" w14:textId="426E4210" w:rsidR="00101E98" w:rsidRPr="006631BA" w:rsidRDefault="00F7443B">
      <w:pPr>
        <w:rPr>
          <w:rFonts w:cstheme="minorHAnsi"/>
        </w:rPr>
      </w:pPr>
      <w:r>
        <w:rPr>
          <w:rFonts w:cstheme="minorHAnsi"/>
        </w:rPr>
        <w:t>3</w:t>
      </w:r>
      <w:r w:rsidR="00101E98" w:rsidRPr="006631BA">
        <w:rPr>
          <w:rFonts w:cstheme="minorHAnsi"/>
        </w:rPr>
        <w:t xml:space="preserve"> </w:t>
      </w:r>
      <w:r w:rsidR="000A262B">
        <w:rPr>
          <w:rFonts w:cstheme="minorHAnsi"/>
        </w:rPr>
        <w:t>October</w:t>
      </w:r>
      <w:r w:rsidR="00101E98" w:rsidRPr="006631BA">
        <w:rPr>
          <w:rFonts w:cstheme="minorHAnsi"/>
        </w:rPr>
        <w:t xml:space="preserve"> 2023</w:t>
      </w:r>
    </w:p>
    <w:p w14:paraId="2AB261C8" w14:textId="02FF6781" w:rsidR="002E2C3C" w:rsidRDefault="002E2C3C">
      <w:pPr>
        <w:rPr>
          <w:rFonts w:cstheme="minorHAnsi"/>
        </w:rPr>
      </w:pPr>
    </w:p>
    <w:p w14:paraId="1B328300" w14:textId="0AA15AE2" w:rsidR="008046F6" w:rsidRPr="008046F6" w:rsidRDefault="008046F6" w:rsidP="008046F6">
      <w:pPr>
        <w:jc w:val="center"/>
        <w:rPr>
          <w:rFonts w:cstheme="minorHAnsi"/>
          <w:b/>
          <w:bCs/>
          <w:sz w:val="28"/>
          <w:szCs w:val="28"/>
        </w:rPr>
      </w:pPr>
      <w:r w:rsidRPr="008046F6">
        <w:rPr>
          <w:rFonts w:cstheme="minorHAnsi"/>
          <w:b/>
          <w:bCs/>
          <w:sz w:val="28"/>
          <w:szCs w:val="28"/>
        </w:rPr>
        <w:t>INTERNET USERS SLEEPWALKING INTO TROUBLE:</w:t>
      </w:r>
    </w:p>
    <w:p w14:paraId="363A8E27" w14:textId="6B2847EC" w:rsidR="008046F6" w:rsidRPr="008046F6" w:rsidRDefault="008046F6" w:rsidP="008046F6">
      <w:pPr>
        <w:jc w:val="center"/>
        <w:rPr>
          <w:rFonts w:cstheme="minorHAnsi"/>
          <w:b/>
          <w:bCs/>
        </w:rPr>
      </w:pPr>
      <w:r w:rsidRPr="008046F6">
        <w:rPr>
          <w:rFonts w:cstheme="minorHAnsi"/>
          <w:b/>
          <w:bCs/>
        </w:rPr>
        <w:t>TWO THIRDS IN THE DARK ON BASIC INTERNET TERMS AS ONLINE SCAMS SOAR</w:t>
      </w:r>
    </w:p>
    <w:p w14:paraId="0AE0DE36" w14:textId="77777777" w:rsidR="008046F6" w:rsidRPr="006631BA" w:rsidRDefault="008046F6">
      <w:pPr>
        <w:rPr>
          <w:rFonts w:cstheme="minorHAnsi"/>
        </w:rPr>
      </w:pPr>
    </w:p>
    <w:p w14:paraId="54F34605" w14:textId="5E53C034" w:rsidR="002E2C3C" w:rsidRPr="00566390" w:rsidRDefault="00EF6728" w:rsidP="00566390">
      <w:pPr>
        <w:jc w:val="both"/>
        <w:rPr>
          <w:rFonts w:cstheme="minorHAnsi"/>
        </w:rPr>
      </w:pPr>
      <w:r w:rsidRPr="00566390">
        <w:rPr>
          <w:rFonts w:cstheme="minorHAnsi"/>
        </w:rPr>
        <w:t xml:space="preserve">The DNS Research Federation today calls </w:t>
      </w:r>
      <w:r w:rsidR="00566390">
        <w:rPr>
          <w:rFonts w:cstheme="minorHAnsi"/>
        </w:rPr>
        <w:t>on</w:t>
      </w:r>
      <w:r w:rsidRPr="00566390">
        <w:rPr>
          <w:rFonts w:cstheme="minorHAnsi"/>
        </w:rPr>
        <w:t xml:space="preserve"> the Government to commit to a major investment in </w:t>
      </w:r>
      <w:r w:rsidR="00566390">
        <w:rPr>
          <w:rFonts w:cstheme="minorHAnsi"/>
        </w:rPr>
        <w:t>I</w:t>
      </w:r>
      <w:r w:rsidRPr="00566390">
        <w:rPr>
          <w:rFonts w:cstheme="minorHAnsi"/>
        </w:rPr>
        <w:t>nternet education</w:t>
      </w:r>
      <w:r w:rsidR="00566390">
        <w:rPr>
          <w:rFonts w:cstheme="minorHAnsi"/>
        </w:rPr>
        <w:t xml:space="preserve">. This comes </w:t>
      </w:r>
      <w:r w:rsidRPr="00566390">
        <w:rPr>
          <w:rFonts w:cstheme="minorHAnsi"/>
        </w:rPr>
        <w:t>on the back of new research</w:t>
      </w:r>
      <w:r w:rsidR="00566390">
        <w:rPr>
          <w:rFonts w:cstheme="minorHAnsi"/>
        </w:rPr>
        <w:t>,</w:t>
      </w:r>
      <w:r w:rsidRPr="00566390">
        <w:rPr>
          <w:rFonts w:cstheme="minorHAnsi"/>
        </w:rPr>
        <w:t xml:space="preserve"> which reveals that less than a third of Brits </w:t>
      </w:r>
      <w:r w:rsidR="002E2C3C" w:rsidRPr="00566390">
        <w:rPr>
          <w:rFonts w:cstheme="minorHAnsi"/>
          <w:color w:val="000000" w:themeColor="text1"/>
        </w:rPr>
        <w:t xml:space="preserve">can identify the correct meaning </w:t>
      </w:r>
      <w:r w:rsidR="00B13FA0" w:rsidRPr="00566390">
        <w:rPr>
          <w:rFonts w:cstheme="minorHAnsi"/>
          <w:color w:val="000000" w:themeColor="text1"/>
        </w:rPr>
        <w:t>of</w:t>
      </w:r>
      <w:r w:rsidR="002E2C3C" w:rsidRPr="00566390">
        <w:rPr>
          <w:rFonts w:cstheme="minorHAnsi"/>
          <w:color w:val="000000" w:themeColor="text1"/>
        </w:rPr>
        <w:t xml:space="preserve"> a range of basic </w:t>
      </w:r>
      <w:r w:rsidR="00566390">
        <w:rPr>
          <w:rFonts w:cstheme="minorHAnsi"/>
          <w:color w:val="000000" w:themeColor="text1"/>
        </w:rPr>
        <w:t>I</w:t>
      </w:r>
      <w:r w:rsidR="002E2C3C" w:rsidRPr="00566390">
        <w:rPr>
          <w:rFonts w:cstheme="minorHAnsi"/>
          <w:color w:val="000000" w:themeColor="text1"/>
        </w:rPr>
        <w:t>nternet terms</w:t>
      </w:r>
      <w:r w:rsidR="00B13FA0" w:rsidRPr="00566390">
        <w:rPr>
          <w:rFonts w:cstheme="minorHAnsi"/>
          <w:color w:val="000000" w:themeColor="text1"/>
        </w:rPr>
        <w:t>.</w:t>
      </w:r>
      <w:r w:rsidR="002E2C3C" w:rsidRPr="00566390">
        <w:rPr>
          <w:rFonts w:cstheme="minorHAnsi"/>
          <w:color w:val="000000" w:themeColor="text1"/>
        </w:rPr>
        <w:t xml:space="preserve"> </w:t>
      </w:r>
    </w:p>
    <w:p w14:paraId="77D23C51" w14:textId="5760EAFB" w:rsidR="00B43FE1" w:rsidRPr="00566390" w:rsidRDefault="00B43FE1" w:rsidP="00566390">
      <w:pPr>
        <w:jc w:val="both"/>
        <w:rPr>
          <w:rFonts w:cstheme="minorHAnsi"/>
          <w:color w:val="000000" w:themeColor="text1"/>
        </w:rPr>
      </w:pPr>
    </w:p>
    <w:p w14:paraId="265AB6CA" w14:textId="1E3EC168" w:rsidR="00B43FE1" w:rsidRPr="00566390" w:rsidRDefault="00AA244B" w:rsidP="00566390">
      <w:pPr>
        <w:jc w:val="both"/>
        <w:rPr>
          <w:rFonts w:eastAsia="Times New Roman" w:cstheme="minorHAnsi"/>
          <w:color w:val="000000"/>
          <w:lang w:eastAsia="en-GB"/>
        </w:rPr>
      </w:pP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The findings come at a time when </w:t>
      </w:r>
      <w:r w:rsid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peopl</w:t>
      </w:r>
      <w:r w:rsidR="00566390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e</w:t>
      </w:r>
      <w:r w:rsidR="00B05830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’</w:t>
      </w:r>
      <w:r w:rsidR="00566390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s</w:t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 dependency on the Internet is at a record high. The UK has one of the highest </w:t>
      </w:r>
      <w:r w:rsidR="00C46689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I</w:t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nternet penetration rates in the wor</w:t>
      </w:r>
      <w:r w:rsid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l</w:t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d (predicted to reach 65 million monthly users by 2026</w:t>
      </w:r>
      <w:r w:rsidRPr="00566390">
        <w:rPr>
          <w:rFonts w:cstheme="minorHAnsi"/>
          <w:color w:val="000000" w:themeColor="text1"/>
        </w:rPr>
        <w:t>)</w:t>
      </w:r>
      <w:r w:rsidR="00B43FE1" w:rsidRPr="00566390">
        <w:rPr>
          <w:rStyle w:val="FootnoteReference"/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footnoteReference w:id="1"/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, an estimated 82% of the UK population </w:t>
      </w:r>
      <w:r w:rsidR="00EF6728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do some form of shopping online</w:t>
      </w:r>
      <w:r w:rsidRPr="00566390">
        <w:rPr>
          <w:rStyle w:val="FootnoteReference"/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footnoteReference w:id="2"/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 </w:t>
      </w:r>
      <w:r w:rsidR="00EF6728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- </w:t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and more than half of children under 16 </w:t>
      </w:r>
      <w:r w:rsid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now </w:t>
      </w:r>
      <w:r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own a mobile phone</w:t>
      </w:r>
      <w:r w:rsidR="00B43FE1" w:rsidRPr="00566390">
        <w:rPr>
          <w:rStyle w:val="FootnoteReference"/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footnoteReference w:id="3"/>
      </w:r>
      <w:r w:rsidR="00B43FE1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.</w:t>
      </w:r>
      <w:r w:rsidR="00EF6728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 Furthermore, recent data from The DNS Research Federation highlighted the serious impact of Internet crime on UK households</w:t>
      </w:r>
      <w:r w:rsidR="00274A8D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. Nationally</w:t>
      </w:r>
      <w:r w:rsidR="00C46689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>,</w:t>
      </w:r>
      <w:r w:rsidR="00274A8D" w:rsidRPr="00566390"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  <w:t xml:space="preserve"> </w:t>
      </w:r>
      <w:r w:rsidR="00B43FE1" w:rsidRPr="00566390">
        <w:rPr>
          <w:rFonts w:eastAsia="Times New Roman" w:cstheme="minorHAnsi"/>
          <w:color w:val="000000"/>
          <w:lang w:eastAsia="en-GB"/>
        </w:rPr>
        <w:t xml:space="preserve">as many as 30% of families in the UK have lost money to </w:t>
      </w:r>
      <w:r w:rsidR="00952AE5">
        <w:rPr>
          <w:rFonts w:eastAsia="Times New Roman" w:cstheme="minorHAnsi"/>
          <w:color w:val="000000"/>
          <w:lang w:eastAsia="en-GB"/>
        </w:rPr>
        <w:t>I</w:t>
      </w:r>
      <w:r w:rsidR="00B43FE1" w:rsidRPr="00566390">
        <w:rPr>
          <w:rFonts w:eastAsia="Times New Roman" w:cstheme="minorHAnsi"/>
          <w:color w:val="000000"/>
          <w:lang w:eastAsia="en-GB"/>
        </w:rPr>
        <w:t>nternet scams – the equivalent of 5.7 million families across the country</w:t>
      </w:r>
      <w:r w:rsidR="00274A8D" w:rsidRPr="00566390">
        <w:rPr>
          <w:rFonts w:eastAsia="Times New Roman" w:cstheme="minorHAnsi"/>
          <w:color w:val="000000"/>
          <w:lang w:eastAsia="en-GB"/>
        </w:rPr>
        <w:t xml:space="preserve"> – with the average amount of money lost to Internet scammers hitting a national average of £1,169 per person</w:t>
      </w:r>
      <w:r w:rsidR="00566390">
        <w:rPr>
          <w:rFonts w:eastAsia="Times New Roman" w:cstheme="minorHAnsi"/>
          <w:color w:val="000000"/>
          <w:lang w:eastAsia="en-GB"/>
        </w:rPr>
        <w:t xml:space="preserve"> and</w:t>
      </w:r>
      <w:r w:rsidR="00274A8D" w:rsidRPr="00566390">
        <w:rPr>
          <w:rFonts w:eastAsia="Times New Roman" w:cstheme="minorHAnsi"/>
          <w:color w:val="000000"/>
          <w:lang w:eastAsia="en-GB"/>
        </w:rPr>
        <w:t xml:space="preserve"> 7% claiming to have lost more than £7,500.</w:t>
      </w:r>
    </w:p>
    <w:p w14:paraId="119354BB" w14:textId="5C265263" w:rsidR="00274A8D" w:rsidRPr="00566390" w:rsidRDefault="00274A8D" w:rsidP="00566390">
      <w:pPr>
        <w:jc w:val="both"/>
        <w:rPr>
          <w:rFonts w:eastAsia="Times New Roman" w:cstheme="minorHAnsi"/>
          <w:color w:val="000000"/>
          <w:lang w:eastAsia="en-GB"/>
        </w:rPr>
      </w:pPr>
    </w:p>
    <w:p w14:paraId="4533929B" w14:textId="1C4353E0" w:rsidR="00274A8D" w:rsidRPr="00566390" w:rsidRDefault="00274A8D" w:rsidP="00566390">
      <w:pPr>
        <w:jc w:val="both"/>
        <w:rPr>
          <w:rFonts w:eastAsia="Times New Roman" w:cstheme="minorHAnsi"/>
          <w:color w:val="000000"/>
          <w:lang w:eastAsia="en-GB"/>
        </w:rPr>
      </w:pPr>
      <w:r w:rsidRPr="00566390">
        <w:rPr>
          <w:rFonts w:eastAsia="Times New Roman" w:cstheme="minorHAnsi"/>
          <w:color w:val="000000"/>
          <w:lang w:eastAsia="en-GB"/>
        </w:rPr>
        <w:t xml:space="preserve">Public awareness of how the Internet works and knowledge of key Internet terms is an important safeguard for people online. With this in mind, The DNS Research Federation </w:t>
      </w:r>
      <w:r w:rsidR="00ED746B">
        <w:rPr>
          <w:rFonts w:eastAsia="Times New Roman" w:cstheme="minorHAnsi"/>
          <w:color w:val="000000"/>
          <w:lang w:eastAsia="en-GB"/>
        </w:rPr>
        <w:t xml:space="preserve">led </w:t>
      </w:r>
      <w:r w:rsidR="00566390">
        <w:rPr>
          <w:rFonts w:eastAsia="Times New Roman" w:cstheme="minorHAnsi"/>
          <w:color w:val="000000"/>
          <w:lang w:eastAsia="en-GB"/>
        </w:rPr>
        <w:t xml:space="preserve">a study </w:t>
      </w:r>
      <w:r w:rsidRPr="00566390">
        <w:rPr>
          <w:rFonts w:eastAsia="Times New Roman" w:cstheme="minorHAnsi"/>
          <w:color w:val="000000"/>
          <w:lang w:eastAsia="en-GB"/>
        </w:rPr>
        <w:t xml:space="preserve">to assess the level of consumer understanding </w:t>
      </w:r>
      <w:r w:rsidR="00ED746B">
        <w:rPr>
          <w:rFonts w:eastAsia="Times New Roman" w:cstheme="minorHAnsi"/>
          <w:color w:val="000000"/>
          <w:lang w:eastAsia="en-GB"/>
        </w:rPr>
        <w:t xml:space="preserve">of </w:t>
      </w:r>
      <w:r w:rsidRPr="00566390">
        <w:rPr>
          <w:rFonts w:eastAsia="Times New Roman" w:cstheme="minorHAnsi"/>
          <w:color w:val="000000"/>
          <w:lang w:eastAsia="en-GB"/>
        </w:rPr>
        <w:t xml:space="preserve">a range of Internet terms. A nationally representative sample of </w:t>
      </w:r>
      <w:r w:rsidRPr="00ED746B">
        <w:rPr>
          <w:rFonts w:eastAsia="Times New Roman" w:cstheme="minorHAnsi"/>
          <w:color w:val="000000"/>
          <w:lang w:eastAsia="en-GB"/>
        </w:rPr>
        <w:t>2,</w:t>
      </w:r>
      <w:r w:rsidR="00ED746B" w:rsidRPr="00ED746B">
        <w:rPr>
          <w:rFonts w:eastAsia="Times New Roman" w:cstheme="minorHAnsi"/>
          <w:color w:val="000000"/>
          <w:lang w:eastAsia="en-GB"/>
        </w:rPr>
        <w:t>151</w:t>
      </w:r>
      <w:r w:rsidRPr="00566390">
        <w:rPr>
          <w:rFonts w:eastAsia="Times New Roman" w:cstheme="minorHAnsi"/>
          <w:color w:val="000000"/>
          <w:lang w:eastAsia="en-GB"/>
        </w:rPr>
        <w:t xml:space="preserve"> adults was presented with 11 terms and 11 statements and asked to match</w:t>
      </w:r>
      <w:r w:rsidR="00ED746B">
        <w:rPr>
          <w:rFonts w:eastAsia="Times New Roman" w:cstheme="minorHAnsi"/>
          <w:color w:val="000000"/>
          <w:lang w:eastAsia="en-GB"/>
        </w:rPr>
        <w:t xml:space="preserve">-up </w:t>
      </w:r>
      <w:r w:rsidR="00B54B31" w:rsidRPr="00566390">
        <w:rPr>
          <w:rFonts w:eastAsia="Times New Roman" w:cstheme="minorHAnsi"/>
          <w:color w:val="000000"/>
          <w:lang w:eastAsia="en-GB"/>
        </w:rPr>
        <w:t>each</w:t>
      </w:r>
      <w:r w:rsidRPr="00566390">
        <w:rPr>
          <w:rFonts w:eastAsia="Times New Roman" w:cstheme="minorHAnsi"/>
          <w:color w:val="000000"/>
          <w:lang w:eastAsia="en-GB"/>
        </w:rPr>
        <w:t xml:space="preserve"> </w:t>
      </w:r>
      <w:r w:rsidR="00B54B31" w:rsidRPr="00566390">
        <w:rPr>
          <w:rFonts w:eastAsia="Times New Roman" w:cstheme="minorHAnsi"/>
          <w:color w:val="000000"/>
          <w:lang w:eastAsia="en-GB"/>
        </w:rPr>
        <w:t>term to the correct statement.</w:t>
      </w:r>
    </w:p>
    <w:p w14:paraId="3DE6CE8E" w14:textId="5A8EF686" w:rsidR="00B54B31" w:rsidRPr="00566390" w:rsidRDefault="00B54B31" w:rsidP="00566390">
      <w:pPr>
        <w:jc w:val="both"/>
        <w:rPr>
          <w:rFonts w:eastAsia="Times New Roman" w:cstheme="minorHAnsi"/>
          <w:color w:val="000000"/>
          <w:lang w:eastAsia="en-GB"/>
        </w:rPr>
      </w:pPr>
    </w:p>
    <w:p w14:paraId="399463D2" w14:textId="005A6586" w:rsidR="00B54B31" w:rsidRPr="00566390" w:rsidRDefault="00B54B31" w:rsidP="00566390">
      <w:pPr>
        <w:jc w:val="both"/>
        <w:rPr>
          <w:rFonts w:eastAsia="Times New Roman" w:cstheme="minorHAnsi"/>
          <w:color w:val="000000"/>
          <w:lang w:eastAsia="en-GB"/>
        </w:rPr>
      </w:pPr>
      <w:r w:rsidRPr="00566390">
        <w:rPr>
          <w:rFonts w:eastAsia="Times New Roman" w:cstheme="minorHAnsi"/>
          <w:color w:val="000000"/>
          <w:lang w:eastAsia="en-GB"/>
        </w:rPr>
        <w:t>The results revealed that less than one in four people (24%) knew what a URL was, only 19% could define what a computer virus was and only 17% knew what a Cookie was</w:t>
      </w:r>
      <w:r w:rsidR="00ED746B">
        <w:rPr>
          <w:rFonts w:eastAsia="Times New Roman" w:cstheme="minorHAnsi"/>
          <w:color w:val="000000"/>
          <w:lang w:eastAsia="en-GB"/>
        </w:rPr>
        <w:t xml:space="preserve"> - this</w:t>
      </w:r>
      <w:r w:rsidRPr="00566390">
        <w:rPr>
          <w:rFonts w:eastAsia="Times New Roman" w:cstheme="minorHAnsi"/>
          <w:color w:val="000000"/>
          <w:lang w:eastAsia="en-GB"/>
        </w:rPr>
        <w:t xml:space="preserve"> despit</w:t>
      </w:r>
      <w:r w:rsidR="00C46689" w:rsidRPr="00566390">
        <w:rPr>
          <w:rFonts w:eastAsia="Times New Roman" w:cstheme="minorHAnsi"/>
          <w:color w:val="000000"/>
          <w:lang w:eastAsia="en-GB"/>
        </w:rPr>
        <w:t>e I</w:t>
      </w:r>
      <w:r w:rsidRPr="00566390">
        <w:rPr>
          <w:rFonts w:eastAsia="Times New Roman" w:cstheme="minorHAnsi"/>
          <w:color w:val="000000"/>
          <w:lang w:eastAsia="en-GB"/>
        </w:rPr>
        <w:t xml:space="preserve">nternet users having to ‘accept cookies’ </w:t>
      </w:r>
      <w:r w:rsidR="00C46689" w:rsidRPr="00566390">
        <w:rPr>
          <w:rFonts w:eastAsia="Times New Roman" w:cstheme="minorHAnsi"/>
          <w:color w:val="000000"/>
          <w:lang w:eastAsia="en-GB"/>
        </w:rPr>
        <w:t>when</w:t>
      </w:r>
      <w:r w:rsidRPr="00566390">
        <w:rPr>
          <w:rFonts w:eastAsia="Times New Roman" w:cstheme="minorHAnsi"/>
          <w:color w:val="000000"/>
          <w:lang w:eastAsia="en-GB"/>
        </w:rPr>
        <w:t xml:space="preserve"> visiting most websites. </w:t>
      </w:r>
    </w:p>
    <w:p w14:paraId="3A97047E" w14:textId="4E941F0E" w:rsidR="00B54B31" w:rsidRPr="00566390" w:rsidRDefault="00B54B31" w:rsidP="00566390">
      <w:pPr>
        <w:jc w:val="both"/>
        <w:rPr>
          <w:rFonts w:eastAsia="Times New Roman" w:cstheme="minorHAnsi"/>
          <w:color w:val="000000"/>
          <w:lang w:eastAsia="en-GB"/>
        </w:rPr>
      </w:pPr>
    </w:p>
    <w:p w14:paraId="2378284A" w14:textId="722D1182" w:rsidR="00B54B31" w:rsidRPr="00566390" w:rsidRDefault="00B54B31" w:rsidP="00566390">
      <w:pPr>
        <w:jc w:val="both"/>
        <w:rPr>
          <w:rFonts w:eastAsia="Times New Roman" w:cstheme="minorHAnsi"/>
          <w:color w:val="000000" w:themeColor="text1"/>
          <w:kern w:val="0"/>
          <w:shd w:val="clear" w:color="auto" w:fill="FFFFFF"/>
          <w:lang w:eastAsia="en-GB"/>
          <w14:ligatures w14:val="none"/>
        </w:rPr>
      </w:pPr>
      <w:r w:rsidRPr="00566390">
        <w:rPr>
          <w:rFonts w:eastAsia="Times New Roman" w:cstheme="minorHAnsi"/>
          <w:color w:val="000000"/>
          <w:lang w:eastAsia="en-GB"/>
        </w:rPr>
        <w:t>The findings also suggested that</w:t>
      </w:r>
      <w:r w:rsidR="00ED746B">
        <w:rPr>
          <w:rFonts w:eastAsia="Times New Roman" w:cstheme="minorHAnsi"/>
          <w:color w:val="000000"/>
          <w:lang w:eastAsia="en-GB"/>
        </w:rPr>
        <w:t>,</w:t>
      </w:r>
      <w:r w:rsidRPr="00566390">
        <w:rPr>
          <w:rFonts w:eastAsia="Times New Roman" w:cstheme="minorHAnsi"/>
          <w:color w:val="000000"/>
          <w:lang w:eastAsia="en-GB"/>
        </w:rPr>
        <w:t xml:space="preserve"> </w:t>
      </w:r>
      <w:r w:rsidR="00ED746B">
        <w:rPr>
          <w:rFonts w:eastAsia="Times New Roman" w:cstheme="minorHAnsi"/>
          <w:color w:val="000000"/>
          <w:lang w:eastAsia="en-GB"/>
        </w:rPr>
        <w:t xml:space="preserve">for many of the terms researched, the under 25 age group </w:t>
      </w:r>
      <w:r w:rsidRPr="00566390">
        <w:rPr>
          <w:rFonts w:eastAsia="Times New Roman" w:cstheme="minorHAnsi"/>
          <w:color w:val="000000"/>
          <w:lang w:eastAsia="en-GB"/>
        </w:rPr>
        <w:t xml:space="preserve">were least likely to be able to define the terms put to them. </w:t>
      </w:r>
      <w:r w:rsidR="00ED746B">
        <w:rPr>
          <w:rFonts w:eastAsia="Times New Roman" w:cstheme="minorHAnsi"/>
          <w:color w:val="000000"/>
          <w:lang w:eastAsia="en-GB"/>
        </w:rPr>
        <w:t>This was a surprise given younger people tend to use the Internet the most.</w:t>
      </w:r>
    </w:p>
    <w:p w14:paraId="1F38130A" w14:textId="4605ACED" w:rsidR="00101E98" w:rsidRDefault="00101E98" w:rsidP="00B54B31">
      <w:pPr>
        <w:rPr>
          <w:rFonts w:cstheme="minorHAnsi"/>
          <w:b/>
          <w:bCs/>
        </w:rPr>
      </w:pPr>
    </w:p>
    <w:p w14:paraId="62C7CDF2" w14:textId="38B0EB76" w:rsidR="00ED746B" w:rsidRPr="006631BA" w:rsidRDefault="00ED746B" w:rsidP="00ED74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Percentage of people that could correctly define various Internet terms (by age group)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228"/>
        <w:gridCol w:w="1229"/>
        <w:gridCol w:w="1228"/>
        <w:gridCol w:w="1229"/>
        <w:gridCol w:w="1228"/>
        <w:gridCol w:w="1229"/>
      </w:tblGrid>
      <w:tr w:rsidR="00ED746B" w:rsidRPr="006631BA" w14:paraId="4AC2CA7F" w14:textId="487321C4" w:rsidTr="003953ED">
        <w:trPr>
          <w:trHeight w:val="322"/>
        </w:trPr>
        <w:tc>
          <w:tcPr>
            <w:tcW w:w="1696" w:type="dxa"/>
            <w:noWrap/>
            <w:hideMark/>
          </w:tcPr>
          <w:p w14:paraId="714DCA01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504B77A2" w14:textId="55433EF9" w:rsidR="00ED746B" w:rsidRPr="00ED746B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D746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National average</w:t>
            </w:r>
          </w:p>
        </w:tc>
        <w:tc>
          <w:tcPr>
            <w:tcW w:w="1229" w:type="dxa"/>
            <w:noWrap/>
          </w:tcPr>
          <w:p w14:paraId="7A3951A6" w14:textId="49716797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18-25</w:t>
            </w:r>
          </w:p>
        </w:tc>
        <w:tc>
          <w:tcPr>
            <w:tcW w:w="1228" w:type="dxa"/>
            <w:noWrap/>
          </w:tcPr>
          <w:p w14:paraId="03FE384E" w14:textId="284B8BFA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25-34</w:t>
            </w:r>
          </w:p>
        </w:tc>
        <w:tc>
          <w:tcPr>
            <w:tcW w:w="1229" w:type="dxa"/>
          </w:tcPr>
          <w:p w14:paraId="3AA39B41" w14:textId="4CCDEAD1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35-44</w:t>
            </w:r>
          </w:p>
        </w:tc>
        <w:tc>
          <w:tcPr>
            <w:tcW w:w="1228" w:type="dxa"/>
          </w:tcPr>
          <w:p w14:paraId="69046C13" w14:textId="0A7E03F1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45-54</w:t>
            </w:r>
          </w:p>
        </w:tc>
        <w:tc>
          <w:tcPr>
            <w:tcW w:w="1229" w:type="dxa"/>
          </w:tcPr>
          <w:p w14:paraId="358FE4AA" w14:textId="236A6C51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55+</w:t>
            </w:r>
          </w:p>
        </w:tc>
      </w:tr>
      <w:tr w:rsidR="00ED746B" w:rsidRPr="006631BA" w14:paraId="15A6C762" w14:textId="289E4569" w:rsidTr="003953ED">
        <w:trPr>
          <w:trHeight w:val="322"/>
        </w:trPr>
        <w:tc>
          <w:tcPr>
            <w:tcW w:w="1696" w:type="dxa"/>
            <w:noWrap/>
            <w:hideMark/>
          </w:tcPr>
          <w:p w14:paraId="4063895F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Firewall</w:t>
            </w:r>
          </w:p>
        </w:tc>
        <w:tc>
          <w:tcPr>
            <w:tcW w:w="1228" w:type="dxa"/>
            <w:noWrap/>
            <w:hideMark/>
          </w:tcPr>
          <w:p w14:paraId="4599D68E" w14:textId="2F18E625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29%</w:t>
            </w:r>
          </w:p>
        </w:tc>
        <w:tc>
          <w:tcPr>
            <w:tcW w:w="1229" w:type="dxa"/>
            <w:noWrap/>
          </w:tcPr>
          <w:p w14:paraId="39C8E5A5" w14:textId="16DF5750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6B1EBF88" w14:textId="0DB594D2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25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6697A78D" w14:textId="6ADC6770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1C11F774" w14:textId="24792415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27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7DCB3A23" w14:textId="3731D7C5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35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15F234F8" w14:textId="6963D4AD" w:rsidTr="003953ED">
        <w:trPr>
          <w:trHeight w:val="322"/>
        </w:trPr>
        <w:tc>
          <w:tcPr>
            <w:tcW w:w="1696" w:type="dxa"/>
            <w:noWrap/>
            <w:hideMark/>
          </w:tcPr>
          <w:p w14:paraId="3A3BC18F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Metaverse</w:t>
            </w:r>
          </w:p>
        </w:tc>
        <w:tc>
          <w:tcPr>
            <w:tcW w:w="1228" w:type="dxa"/>
            <w:noWrap/>
            <w:hideMark/>
          </w:tcPr>
          <w:p w14:paraId="217D6551" w14:textId="0EF85C20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29%</w:t>
            </w:r>
          </w:p>
        </w:tc>
        <w:tc>
          <w:tcPr>
            <w:tcW w:w="1229" w:type="dxa"/>
            <w:noWrap/>
          </w:tcPr>
          <w:p w14:paraId="62A48A26" w14:textId="11255AC0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ED746B">
              <w:rPr>
                <w:rFonts w:cstheme="minorHAnsi"/>
              </w:rPr>
              <w:t>34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5D54B6B5" w14:textId="0A1AF17E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29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1F9EB31F" w14:textId="43388894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C46689">
              <w:rPr>
                <w:rFonts w:cstheme="minorHAnsi"/>
              </w:rPr>
              <w:t>27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03D101A0" w14:textId="5669FEC9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30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3B0DD19E" w14:textId="0E2F7F21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28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75B5E00C" w14:textId="5B581326" w:rsidTr="003953ED">
        <w:trPr>
          <w:trHeight w:val="322"/>
        </w:trPr>
        <w:tc>
          <w:tcPr>
            <w:tcW w:w="1696" w:type="dxa"/>
            <w:noWrap/>
            <w:hideMark/>
          </w:tcPr>
          <w:p w14:paraId="07E6C133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Phishing</w:t>
            </w:r>
          </w:p>
        </w:tc>
        <w:tc>
          <w:tcPr>
            <w:tcW w:w="1228" w:type="dxa"/>
            <w:noWrap/>
            <w:hideMark/>
          </w:tcPr>
          <w:p w14:paraId="3A8E705C" w14:textId="6EC73789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26%</w:t>
            </w:r>
          </w:p>
        </w:tc>
        <w:tc>
          <w:tcPr>
            <w:tcW w:w="1229" w:type="dxa"/>
            <w:noWrap/>
          </w:tcPr>
          <w:p w14:paraId="0579410F" w14:textId="6117448D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22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17C18271" w14:textId="46AF20E6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23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128076B5" w14:textId="02C463E2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73F31383" w14:textId="3B6057F6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31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6334DDB6" w14:textId="4F2CD14E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28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5D80DACA" w14:textId="1CD753EF" w:rsidTr="003953ED">
        <w:trPr>
          <w:trHeight w:val="322"/>
        </w:trPr>
        <w:tc>
          <w:tcPr>
            <w:tcW w:w="1696" w:type="dxa"/>
            <w:noWrap/>
            <w:hideMark/>
          </w:tcPr>
          <w:p w14:paraId="5D6112A3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URL</w:t>
            </w:r>
          </w:p>
        </w:tc>
        <w:tc>
          <w:tcPr>
            <w:tcW w:w="1228" w:type="dxa"/>
            <w:noWrap/>
            <w:hideMark/>
          </w:tcPr>
          <w:p w14:paraId="7014CECE" w14:textId="6D6024D8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24%</w:t>
            </w:r>
          </w:p>
        </w:tc>
        <w:tc>
          <w:tcPr>
            <w:tcW w:w="1229" w:type="dxa"/>
            <w:noWrap/>
          </w:tcPr>
          <w:p w14:paraId="694E9BA3" w14:textId="41EA2B70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25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07B59E26" w14:textId="3CC7E04E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23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4D498E88" w14:textId="78237174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26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790EEE06" w14:textId="7A1B4444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25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3D3FC2B6" w14:textId="05667FA5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28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0081204C" w14:textId="3D0E7376" w:rsidTr="003953ED">
        <w:trPr>
          <w:trHeight w:val="322"/>
        </w:trPr>
        <w:tc>
          <w:tcPr>
            <w:tcW w:w="1696" w:type="dxa"/>
            <w:noWrap/>
            <w:hideMark/>
          </w:tcPr>
          <w:p w14:paraId="3356600F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Ransomware</w:t>
            </w:r>
          </w:p>
        </w:tc>
        <w:tc>
          <w:tcPr>
            <w:tcW w:w="1228" w:type="dxa"/>
            <w:noWrap/>
            <w:hideMark/>
          </w:tcPr>
          <w:p w14:paraId="13AFEFC6" w14:textId="7A8AAD92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21%</w:t>
            </w:r>
          </w:p>
        </w:tc>
        <w:tc>
          <w:tcPr>
            <w:tcW w:w="1229" w:type="dxa"/>
            <w:noWrap/>
          </w:tcPr>
          <w:p w14:paraId="5F8E4DFA" w14:textId="4F9142BA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22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715261DC" w14:textId="2E6C3F18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19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542DA7CC" w14:textId="082B1724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25393C13" w14:textId="0316E4FC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23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51274606" w14:textId="483B9C68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26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31AD862C" w14:textId="6275A98A" w:rsidTr="003953ED">
        <w:trPr>
          <w:trHeight w:val="322"/>
        </w:trPr>
        <w:tc>
          <w:tcPr>
            <w:tcW w:w="1696" w:type="dxa"/>
            <w:noWrap/>
            <w:hideMark/>
          </w:tcPr>
          <w:p w14:paraId="74C0C252" w14:textId="77777777" w:rsidR="00ED746B" w:rsidRPr="006631BA" w:rsidRDefault="00ED746B" w:rsidP="00784DD2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Cache</w:t>
            </w:r>
          </w:p>
        </w:tc>
        <w:tc>
          <w:tcPr>
            <w:tcW w:w="1228" w:type="dxa"/>
            <w:noWrap/>
            <w:hideMark/>
          </w:tcPr>
          <w:p w14:paraId="21EBC545" w14:textId="15C92653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19%</w:t>
            </w:r>
          </w:p>
        </w:tc>
        <w:tc>
          <w:tcPr>
            <w:tcW w:w="1229" w:type="dxa"/>
            <w:noWrap/>
          </w:tcPr>
          <w:p w14:paraId="6CFBA249" w14:textId="12B9A7A6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20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0C8DA988" w14:textId="4AC5940A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16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541B55FF" w14:textId="2CEC815A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01CD447C" w14:textId="205B49D3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22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6CF5E61F" w14:textId="31EC15DA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4485C9B3" w14:textId="77777777" w:rsidTr="003953ED">
        <w:trPr>
          <w:trHeight w:val="322"/>
        </w:trPr>
        <w:tc>
          <w:tcPr>
            <w:tcW w:w="1696" w:type="dxa"/>
            <w:noWrap/>
          </w:tcPr>
          <w:p w14:paraId="0875B517" w14:textId="1363AA6A" w:rsidR="00ED746B" w:rsidRPr="006631BA" w:rsidRDefault="00ED746B" w:rsidP="002E2C3C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lastRenderedPageBreak/>
              <w:t>Virus</w:t>
            </w:r>
          </w:p>
        </w:tc>
        <w:tc>
          <w:tcPr>
            <w:tcW w:w="1228" w:type="dxa"/>
            <w:noWrap/>
          </w:tcPr>
          <w:p w14:paraId="26B0F465" w14:textId="4DB7A20A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19%</w:t>
            </w:r>
          </w:p>
        </w:tc>
        <w:tc>
          <w:tcPr>
            <w:tcW w:w="1229" w:type="dxa"/>
            <w:noWrap/>
          </w:tcPr>
          <w:p w14:paraId="6D9C93A4" w14:textId="7761491E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2AD8E953" w14:textId="18CD2652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17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5E7BDA9C" w14:textId="4B8E4B53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16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507E7B1F" w14:textId="692BF8EC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1F46360C" w14:textId="490F1E64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19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5B969FF6" w14:textId="384827D0" w:rsidTr="003953ED">
        <w:trPr>
          <w:trHeight w:val="322"/>
        </w:trPr>
        <w:tc>
          <w:tcPr>
            <w:tcW w:w="1696" w:type="dxa"/>
            <w:noWrap/>
            <w:hideMark/>
          </w:tcPr>
          <w:p w14:paraId="69010F90" w14:textId="77777777" w:rsidR="00ED746B" w:rsidRPr="006631BA" w:rsidRDefault="00ED746B" w:rsidP="002E2C3C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HTML</w:t>
            </w:r>
          </w:p>
        </w:tc>
        <w:tc>
          <w:tcPr>
            <w:tcW w:w="1228" w:type="dxa"/>
            <w:noWrap/>
            <w:hideMark/>
          </w:tcPr>
          <w:p w14:paraId="68BEEF63" w14:textId="4DA7DE84" w:rsidR="00ED746B" w:rsidRPr="006631BA" w:rsidRDefault="00ED746B" w:rsidP="00ED746B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18%</w:t>
            </w:r>
          </w:p>
        </w:tc>
        <w:tc>
          <w:tcPr>
            <w:tcW w:w="1229" w:type="dxa"/>
            <w:noWrap/>
          </w:tcPr>
          <w:p w14:paraId="7FF28E44" w14:textId="6A3EFE7B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19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1748B6B9" w14:textId="1143C460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33FA9EB7" w14:textId="6FD14D45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19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4DFC364A" w14:textId="56F95B56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3CB7DE16" w14:textId="640DC621" w:rsidR="00ED746B" w:rsidRPr="006631BA" w:rsidRDefault="00ED746B" w:rsidP="00ED746B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21</w:t>
            </w:r>
            <w:r>
              <w:rPr>
                <w:rFonts w:cstheme="minorHAnsi"/>
              </w:rPr>
              <w:t>%</w:t>
            </w:r>
          </w:p>
        </w:tc>
      </w:tr>
      <w:tr w:rsidR="00ED746B" w:rsidRPr="006631BA" w14:paraId="38F71672" w14:textId="108BF9A1" w:rsidTr="003953ED">
        <w:trPr>
          <w:trHeight w:val="322"/>
        </w:trPr>
        <w:tc>
          <w:tcPr>
            <w:tcW w:w="1696" w:type="dxa"/>
            <w:noWrap/>
            <w:hideMark/>
          </w:tcPr>
          <w:p w14:paraId="3C838885" w14:textId="77777777" w:rsidR="00ED746B" w:rsidRPr="006631BA" w:rsidRDefault="00ED746B" w:rsidP="002E2C3C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Cookie </w:t>
            </w:r>
          </w:p>
        </w:tc>
        <w:tc>
          <w:tcPr>
            <w:tcW w:w="1228" w:type="dxa"/>
            <w:noWrap/>
            <w:hideMark/>
          </w:tcPr>
          <w:p w14:paraId="1D191C3A" w14:textId="79072268" w:rsidR="00ED746B" w:rsidRPr="006631BA" w:rsidRDefault="00ED746B" w:rsidP="003953E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17%</w:t>
            </w:r>
          </w:p>
        </w:tc>
        <w:tc>
          <w:tcPr>
            <w:tcW w:w="1229" w:type="dxa"/>
            <w:noWrap/>
          </w:tcPr>
          <w:p w14:paraId="675CA29A" w14:textId="578A2B8F" w:rsidR="00ED746B" w:rsidRPr="006631BA" w:rsidRDefault="00ED746B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22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67D6DD5D" w14:textId="18C4CD65" w:rsidR="00ED746B" w:rsidRPr="006631BA" w:rsidRDefault="00ED746B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22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2C314FF6" w14:textId="11007937" w:rsidR="00ED746B" w:rsidRPr="006631BA" w:rsidRDefault="00ED746B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16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3AF74E84" w14:textId="57D78180" w:rsidR="00ED746B" w:rsidRPr="006631BA" w:rsidRDefault="00ED746B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638C1362" w14:textId="7796ACF6" w:rsidR="00ED746B" w:rsidRPr="006631BA" w:rsidRDefault="00ED746B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16</w:t>
            </w:r>
            <w:r>
              <w:rPr>
                <w:rFonts w:cstheme="minorHAnsi"/>
              </w:rPr>
              <w:t>%</w:t>
            </w:r>
          </w:p>
        </w:tc>
      </w:tr>
      <w:tr w:rsidR="003953ED" w:rsidRPr="006631BA" w14:paraId="11D75450" w14:textId="77777777" w:rsidTr="003953ED">
        <w:trPr>
          <w:trHeight w:val="322"/>
        </w:trPr>
        <w:tc>
          <w:tcPr>
            <w:tcW w:w="1696" w:type="dxa"/>
            <w:noWrap/>
          </w:tcPr>
          <w:p w14:paraId="1697E8DC" w14:textId="6C45B258" w:rsidR="003953ED" w:rsidRPr="006631BA" w:rsidRDefault="003953ED" w:rsidP="002E2C3C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Malware</w:t>
            </w:r>
          </w:p>
        </w:tc>
        <w:tc>
          <w:tcPr>
            <w:tcW w:w="1228" w:type="dxa"/>
            <w:noWrap/>
          </w:tcPr>
          <w:p w14:paraId="5CCCF0EC" w14:textId="7F76DE17" w:rsidR="003953ED" w:rsidRPr="006631BA" w:rsidRDefault="003953ED" w:rsidP="003953E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</w:t>
            </w: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%</w:t>
            </w:r>
          </w:p>
        </w:tc>
        <w:tc>
          <w:tcPr>
            <w:tcW w:w="1229" w:type="dxa"/>
            <w:noWrap/>
          </w:tcPr>
          <w:p w14:paraId="3D4385FF" w14:textId="6AB5DE9E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11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62784F91" w14:textId="51086771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14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3C9155E7" w14:textId="5A36E123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15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2E994BCC" w14:textId="018FE57E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20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49FD9286" w14:textId="6A765A34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18</w:t>
            </w:r>
            <w:r>
              <w:rPr>
                <w:rFonts w:cstheme="minorHAnsi"/>
              </w:rPr>
              <w:t>%</w:t>
            </w:r>
          </w:p>
        </w:tc>
      </w:tr>
      <w:tr w:rsidR="003953ED" w:rsidRPr="006631BA" w14:paraId="0F5D735C" w14:textId="77777777" w:rsidTr="003953ED">
        <w:trPr>
          <w:trHeight w:val="322"/>
        </w:trPr>
        <w:tc>
          <w:tcPr>
            <w:tcW w:w="1696" w:type="dxa"/>
            <w:noWrap/>
          </w:tcPr>
          <w:p w14:paraId="5DFA2311" w14:textId="1298B846" w:rsidR="003953ED" w:rsidRPr="006631BA" w:rsidRDefault="003953ED" w:rsidP="002E2C3C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Deepfake</w:t>
            </w:r>
          </w:p>
        </w:tc>
        <w:tc>
          <w:tcPr>
            <w:tcW w:w="1228" w:type="dxa"/>
            <w:noWrap/>
          </w:tcPr>
          <w:p w14:paraId="60202DF2" w14:textId="0E330D19" w:rsidR="003953ED" w:rsidRPr="006631BA" w:rsidRDefault="003953ED" w:rsidP="003953E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1B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</w:t>
            </w: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%</w:t>
            </w:r>
          </w:p>
        </w:tc>
        <w:tc>
          <w:tcPr>
            <w:tcW w:w="1229" w:type="dxa"/>
            <w:noWrap/>
          </w:tcPr>
          <w:p w14:paraId="4D8F96E6" w14:textId="5E2A5326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21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  <w:noWrap/>
          </w:tcPr>
          <w:p w14:paraId="189CC44F" w14:textId="4A754C64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17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5123BA81" w14:textId="0667D15D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11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8" w:type="dxa"/>
          </w:tcPr>
          <w:p w14:paraId="62B6BC5B" w14:textId="0863CC06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13</w:t>
            </w:r>
            <w:r>
              <w:rPr>
                <w:rFonts w:cstheme="minorHAnsi"/>
              </w:rPr>
              <w:t>%</w:t>
            </w:r>
          </w:p>
        </w:tc>
        <w:tc>
          <w:tcPr>
            <w:tcW w:w="1229" w:type="dxa"/>
          </w:tcPr>
          <w:p w14:paraId="1764D291" w14:textId="596F76A6" w:rsidR="003953ED" w:rsidRPr="006631BA" w:rsidRDefault="003953ED" w:rsidP="003953ED">
            <w:pPr>
              <w:jc w:val="center"/>
              <w:rPr>
                <w:rFonts w:cstheme="minorHAnsi"/>
              </w:rPr>
            </w:pPr>
            <w:r w:rsidRPr="006631BA">
              <w:rPr>
                <w:rFonts w:cstheme="minorHAnsi"/>
              </w:rPr>
              <w:t>15</w:t>
            </w:r>
            <w:r>
              <w:rPr>
                <w:rFonts w:cstheme="minorHAnsi"/>
              </w:rPr>
              <w:t>%</w:t>
            </w:r>
          </w:p>
        </w:tc>
      </w:tr>
    </w:tbl>
    <w:p w14:paraId="4A48AA95" w14:textId="77777777" w:rsidR="006631BA" w:rsidRDefault="006631BA" w:rsidP="00B54B31">
      <w:pPr>
        <w:rPr>
          <w:rFonts w:cstheme="minorHAnsi"/>
          <w:b/>
          <w:bCs/>
        </w:rPr>
      </w:pPr>
    </w:p>
    <w:p w14:paraId="67A7B343" w14:textId="6531FB46" w:rsidR="00B54B31" w:rsidRPr="006631BA" w:rsidRDefault="00B54B31" w:rsidP="00B54B31">
      <w:pPr>
        <w:rPr>
          <w:rFonts w:cstheme="minorHAnsi"/>
          <w:i/>
          <w:iCs/>
        </w:rPr>
      </w:pPr>
      <w:r w:rsidRPr="006631BA">
        <w:rPr>
          <w:rFonts w:cstheme="minorHAnsi"/>
          <w:b/>
          <w:bCs/>
        </w:rPr>
        <w:t>Lucien Taylor, Chief Strategy Officer at The DNS Research</w:t>
      </w:r>
      <w:r w:rsidRPr="003953ED">
        <w:rPr>
          <w:rFonts w:cstheme="minorHAnsi"/>
          <w:b/>
          <w:bCs/>
        </w:rPr>
        <w:t xml:space="preserve"> Federation</w:t>
      </w:r>
      <w:r w:rsidRPr="006631BA">
        <w:rPr>
          <w:rFonts w:cstheme="minorHAnsi"/>
        </w:rPr>
        <w:t xml:space="preserve"> commented: </w:t>
      </w:r>
      <w:r w:rsidRPr="006631BA">
        <w:rPr>
          <w:rFonts w:cstheme="minorHAnsi"/>
          <w:i/>
          <w:iCs/>
        </w:rPr>
        <w:t xml:space="preserve">“We know from previous research that around 53% of Brits hate tech </w:t>
      </w:r>
      <w:r w:rsidR="00387191" w:rsidRPr="006631BA">
        <w:rPr>
          <w:rFonts w:cstheme="minorHAnsi"/>
          <w:i/>
          <w:iCs/>
        </w:rPr>
        <w:t xml:space="preserve">terms </w:t>
      </w:r>
      <w:r w:rsidRPr="006631BA">
        <w:rPr>
          <w:rFonts w:cstheme="minorHAnsi"/>
          <w:i/>
          <w:iCs/>
        </w:rPr>
        <w:t xml:space="preserve">and would like to see a whole raft of </w:t>
      </w:r>
      <w:r w:rsidR="00387191" w:rsidRPr="006631BA">
        <w:rPr>
          <w:rFonts w:cstheme="minorHAnsi"/>
          <w:i/>
          <w:iCs/>
        </w:rPr>
        <w:t xml:space="preserve">tech jargon removed from the English language. We agree with this </w:t>
      </w:r>
      <w:r w:rsidR="003953ED">
        <w:rPr>
          <w:rFonts w:cstheme="minorHAnsi"/>
          <w:i/>
          <w:iCs/>
        </w:rPr>
        <w:t xml:space="preserve">when </w:t>
      </w:r>
      <w:r w:rsidR="00387191" w:rsidRPr="006631BA">
        <w:rPr>
          <w:rFonts w:cstheme="minorHAnsi"/>
          <w:i/>
          <w:iCs/>
        </w:rPr>
        <w:t>terms invented by the tech community create barriers to understand</w:t>
      </w:r>
      <w:r w:rsidR="003953ED">
        <w:rPr>
          <w:rFonts w:cstheme="minorHAnsi"/>
          <w:i/>
          <w:iCs/>
        </w:rPr>
        <w:t>ing</w:t>
      </w:r>
      <w:r w:rsidR="00387191" w:rsidRPr="006631BA">
        <w:rPr>
          <w:rFonts w:cstheme="minorHAnsi"/>
          <w:i/>
          <w:iCs/>
        </w:rPr>
        <w:t xml:space="preserve"> and engagement with the consumer.</w:t>
      </w:r>
    </w:p>
    <w:p w14:paraId="2FFBD7A4" w14:textId="6B8C729C" w:rsidR="00387191" w:rsidRPr="006631BA" w:rsidRDefault="00387191" w:rsidP="00B54B31">
      <w:pPr>
        <w:rPr>
          <w:rFonts w:cstheme="minorHAnsi"/>
          <w:i/>
          <w:iCs/>
        </w:rPr>
      </w:pPr>
    </w:p>
    <w:p w14:paraId="01A27360" w14:textId="236CA1F5" w:rsidR="00B54B31" w:rsidRDefault="003953ED" w:rsidP="00B54B3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387191" w:rsidRPr="006631BA">
        <w:rPr>
          <w:rFonts w:cstheme="minorHAnsi"/>
          <w:i/>
          <w:iCs/>
        </w:rPr>
        <w:t xml:space="preserve">Our latest data presented a representative sample of the UK public with common Internet terms. The low levels of understanding among the public </w:t>
      </w:r>
      <w:r w:rsidR="00C46689" w:rsidRPr="003953ED">
        <w:rPr>
          <w:rFonts w:cstheme="minorHAnsi"/>
          <w:i/>
          <w:iCs/>
        </w:rPr>
        <w:t>are</w:t>
      </w:r>
      <w:r w:rsidR="00387191" w:rsidRPr="006631BA">
        <w:rPr>
          <w:rFonts w:cstheme="minorHAnsi"/>
          <w:i/>
          <w:iCs/>
        </w:rPr>
        <w:t xml:space="preserve"> a c</w:t>
      </w:r>
      <w:r w:rsidR="00C46689">
        <w:rPr>
          <w:rFonts w:cstheme="minorHAnsi"/>
          <w:i/>
          <w:iCs/>
        </w:rPr>
        <w:t>au</w:t>
      </w:r>
      <w:r w:rsidR="00387191" w:rsidRPr="006631BA">
        <w:rPr>
          <w:rFonts w:cstheme="minorHAnsi"/>
          <w:i/>
          <w:iCs/>
        </w:rPr>
        <w:t xml:space="preserve">se for concern. It’s certainly not the consumer’s fault if they don’t understand </w:t>
      </w:r>
      <w:r>
        <w:rPr>
          <w:rFonts w:cstheme="minorHAnsi"/>
          <w:i/>
          <w:iCs/>
        </w:rPr>
        <w:t>tech jargon</w:t>
      </w:r>
      <w:r w:rsidR="00C46689">
        <w:rPr>
          <w:rFonts w:cstheme="minorHAnsi"/>
          <w:i/>
          <w:iCs/>
        </w:rPr>
        <w:t>,</w:t>
      </w:r>
      <w:r w:rsidR="00387191" w:rsidRPr="006631BA">
        <w:rPr>
          <w:rFonts w:cstheme="minorHAnsi"/>
          <w:i/>
          <w:iCs/>
        </w:rPr>
        <w:t xml:space="preserve"> but a concerted effort needs to </w:t>
      </w:r>
      <w:r w:rsidR="00C46689">
        <w:rPr>
          <w:rFonts w:cstheme="minorHAnsi"/>
          <w:i/>
          <w:iCs/>
        </w:rPr>
        <w:t xml:space="preserve">be </w:t>
      </w:r>
      <w:r w:rsidR="00387191" w:rsidRPr="006631BA">
        <w:rPr>
          <w:rFonts w:cstheme="minorHAnsi"/>
          <w:i/>
          <w:iCs/>
        </w:rPr>
        <w:t xml:space="preserve">made to improve consumer understanding </w:t>
      </w:r>
      <w:r w:rsidR="00387191" w:rsidRPr="003953ED">
        <w:rPr>
          <w:rFonts w:cstheme="minorHAnsi"/>
          <w:i/>
          <w:iCs/>
        </w:rPr>
        <w:t xml:space="preserve">of </w:t>
      </w:r>
      <w:r w:rsidR="00C46689" w:rsidRPr="003953ED">
        <w:rPr>
          <w:rFonts w:cstheme="minorHAnsi"/>
          <w:i/>
          <w:iCs/>
        </w:rPr>
        <w:t>I</w:t>
      </w:r>
      <w:r w:rsidR="00387191" w:rsidRPr="003953ED">
        <w:rPr>
          <w:rFonts w:cstheme="minorHAnsi"/>
          <w:i/>
          <w:iCs/>
        </w:rPr>
        <w:t>nternet terms</w:t>
      </w:r>
      <w:r w:rsidR="00C46689">
        <w:rPr>
          <w:rFonts w:cstheme="minorHAnsi"/>
          <w:i/>
          <w:iCs/>
        </w:rPr>
        <w:t xml:space="preserve"> </w:t>
      </w:r>
      <w:r w:rsidR="00387191" w:rsidRPr="006631BA">
        <w:rPr>
          <w:rFonts w:cstheme="minorHAnsi"/>
          <w:i/>
          <w:iCs/>
        </w:rPr>
        <w:t>because</w:t>
      </w:r>
      <w:r>
        <w:rPr>
          <w:rFonts w:cstheme="minorHAnsi"/>
          <w:i/>
          <w:iCs/>
        </w:rPr>
        <w:t>,</w:t>
      </w:r>
      <w:r w:rsidR="00387191" w:rsidRPr="006631BA">
        <w:rPr>
          <w:rFonts w:cstheme="minorHAnsi"/>
          <w:i/>
          <w:iCs/>
        </w:rPr>
        <w:t xml:space="preserve"> without this</w:t>
      </w:r>
      <w:r w:rsidR="00C46689">
        <w:rPr>
          <w:rFonts w:cstheme="minorHAnsi"/>
          <w:i/>
          <w:iCs/>
        </w:rPr>
        <w:t>,</w:t>
      </w:r>
      <w:r w:rsidR="00387191" w:rsidRPr="006631BA">
        <w:rPr>
          <w:rFonts w:cstheme="minorHAnsi"/>
          <w:i/>
          <w:iCs/>
        </w:rPr>
        <w:t xml:space="preserve"> millions of people will be sleepwalking into the hands of </w:t>
      </w:r>
      <w:r>
        <w:rPr>
          <w:rFonts w:cstheme="minorHAnsi"/>
          <w:i/>
          <w:iCs/>
        </w:rPr>
        <w:t>I</w:t>
      </w:r>
      <w:r w:rsidR="00387191" w:rsidRPr="006631BA">
        <w:rPr>
          <w:rFonts w:cstheme="minorHAnsi"/>
          <w:i/>
          <w:iCs/>
        </w:rPr>
        <w:t xml:space="preserve">nternet scammers. Consumer empowerment is the keystone to protecting the future of the free and open Internet and the wonderful outcomes it can </w:t>
      </w:r>
      <w:r w:rsidR="00C46689" w:rsidRPr="006631BA">
        <w:rPr>
          <w:rFonts w:cstheme="minorHAnsi"/>
          <w:i/>
          <w:iCs/>
        </w:rPr>
        <w:t>deliver</w:t>
      </w:r>
      <w:r w:rsidR="00387191" w:rsidRPr="006631BA">
        <w:rPr>
          <w:rFonts w:cstheme="minorHAnsi"/>
          <w:i/>
          <w:iCs/>
        </w:rPr>
        <w:t xml:space="preserve"> to people</w:t>
      </w:r>
      <w:r>
        <w:rPr>
          <w:rFonts w:cstheme="minorHAnsi"/>
          <w:i/>
          <w:iCs/>
        </w:rPr>
        <w:t xml:space="preserve"> every day</w:t>
      </w:r>
      <w:r w:rsidR="00387191" w:rsidRPr="006631BA">
        <w:rPr>
          <w:rFonts w:cstheme="minorHAnsi"/>
          <w:i/>
          <w:iCs/>
        </w:rPr>
        <w:t xml:space="preserve">. But we need government, policymakers and </w:t>
      </w:r>
      <w:r w:rsidR="00C46689" w:rsidRPr="006631BA">
        <w:rPr>
          <w:rFonts w:cstheme="minorHAnsi"/>
          <w:i/>
          <w:iCs/>
        </w:rPr>
        <w:t>educators</w:t>
      </w:r>
      <w:r w:rsidR="00387191" w:rsidRPr="006631BA">
        <w:rPr>
          <w:rFonts w:cstheme="minorHAnsi"/>
          <w:i/>
          <w:iCs/>
        </w:rPr>
        <w:t xml:space="preserve"> to step up to the task of improving </w:t>
      </w:r>
      <w:r w:rsidR="00C46689">
        <w:rPr>
          <w:rFonts w:cstheme="minorHAnsi"/>
          <w:i/>
          <w:iCs/>
        </w:rPr>
        <w:t>I</w:t>
      </w:r>
      <w:r w:rsidR="00387191" w:rsidRPr="006631BA">
        <w:rPr>
          <w:rFonts w:cstheme="minorHAnsi"/>
          <w:i/>
          <w:iCs/>
        </w:rPr>
        <w:t xml:space="preserve">nternet education, and </w:t>
      </w:r>
      <w:r>
        <w:rPr>
          <w:rFonts w:cstheme="minorHAnsi"/>
          <w:i/>
          <w:iCs/>
        </w:rPr>
        <w:t>we invite them to join our journey.”</w:t>
      </w:r>
    </w:p>
    <w:p w14:paraId="4407A03B" w14:textId="77777777" w:rsidR="006F279E" w:rsidRPr="006631BA" w:rsidRDefault="006F279E" w:rsidP="00B54B31">
      <w:pPr>
        <w:rPr>
          <w:rFonts w:cstheme="minorHAnsi"/>
          <w:i/>
          <w:iCs/>
        </w:rPr>
      </w:pPr>
    </w:p>
    <w:p w14:paraId="7C07CA1E" w14:textId="77777777" w:rsidR="00B54B31" w:rsidRPr="006631BA" w:rsidRDefault="00B54B31" w:rsidP="00B54B31">
      <w:pPr>
        <w:rPr>
          <w:rFonts w:cstheme="minorHAnsi"/>
          <w:i/>
          <w:iCs/>
        </w:rPr>
      </w:pPr>
    </w:p>
    <w:p w14:paraId="116816B6" w14:textId="3F7F556A" w:rsidR="00233E85" w:rsidRPr="006631BA" w:rsidRDefault="00233E85" w:rsidP="00233E85">
      <w:pPr>
        <w:rPr>
          <w:rFonts w:cstheme="minorHAnsi"/>
          <w:b/>
          <w:bCs/>
        </w:rPr>
      </w:pPr>
      <w:r w:rsidRPr="006631BA">
        <w:rPr>
          <w:rFonts w:cstheme="minorHAnsi"/>
          <w:b/>
          <w:bCs/>
        </w:rPr>
        <w:t xml:space="preserve">For more information on DNS Research Federation or to request interviews with </w:t>
      </w:r>
      <w:r w:rsidR="003953ED">
        <w:rPr>
          <w:rFonts w:cstheme="minorHAnsi"/>
          <w:b/>
          <w:bCs/>
        </w:rPr>
        <w:t xml:space="preserve">Lucien </w:t>
      </w:r>
      <w:r w:rsidRPr="006631BA">
        <w:rPr>
          <w:rFonts w:cstheme="minorHAnsi"/>
          <w:b/>
          <w:bCs/>
        </w:rPr>
        <w:t>Taylor, contact:</w:t>
      </w:r>
    </w:p>
    <w:p w14:paraId="476812D2" w14:textId="77777777" w:rsidR="003953ED" w:rsidRPr="002D228D" w:rsidRDefault="003953ED" w:rsidP="003953ED">
      <w:pPr>
        <w:jc w:val="both"/>
        <w:rPr>
          <w:rFonts w:eastAsia="Times New Roman" w:cstheme="minorHAnsi"/>
          <w:color w:val="000000"/>
          <w:lang w:eastAsia="en-GB"/>
        </w:rPr>
      </w:pPr>
      <w:r w:rsidRPr="002D228D">
        <w:rPr>
          <w:rFonts w:eastAsia="Times New Roman" w:cstheme="minorHAnsi"/>
          <w:color w:val="000000"/>
          <w:lang w:eastAsia="en-GB"/>
        </w:rPr>
        <w:t xml:space="preserve">Guy Bellamy / </w:t>
      </w:r>
      <w:r>
        <w:rPr>
          <w:rFonts w:eastAsia="Times New Roman" w:cstheme="minorHAnsi"/>
          <w:color w:val="000000"/>
          <w:lang w:eastAsia="en-GB"/>
        </w:rPr>
        <w:t xml:space="preserve">Abi Guest </w:t>
      </w:r>
      <w:r w:rsidRPr="002D228D">
        <w:rPr>
          <w:rFonts w:eastAsia="Times New Roman" w:cstheme="minorHAnsi"/>
          <w:color w:val="000000"/>
          <w:lang w:eastAsia="en-GB"/>
        </w:rPr>
        <w:t>- elephant communications</w:t>
      </w:r>
    </w:p>
    <w:p w14:paraId="7EA6D9A7" w14:textId="77777777" w:rsidR="003953ED" w:rsidRPr="002D228D" w:rsidRDefault="003953ED" w:rsidP="003953ED">
      <w:pPr>
        <w:rPr>
          <w:rFonts w:eastAsia="Times New Roman" w:cstheme="minorHAnsi"/>
          <w:lang w:eastAsia="en-GB"/>
        </w:rPr>
      </w:pPr>
      <w:r w:rsidRPr="002D228D">
        <w:rPr>
          <w:rFonts w:eastAsia="Times New Roman" w:cstheme="minorHAnsi"/>
          <w:color w:val="000000"/>
          <w:lang w:eastAsia="en-GB"/>
        </w:rPr>
        <w:t xml:space="preserve">07766 775216 / 07908 </w:t>
      </w:r>
      <w:r>
        <w:rPr>
          <w:rFonts w:eastAsia="Times New Roman" w:cstheme="minorHAnsi"/>
          <w:color w:val="000000"/>
          <w:lang w:eastAsia="en-GB"/>
        </w:rPr>
        <w:t>551589</w:t>
      </w:r>
    </w:p>
    <w:p w14:paraId="61F8D3ED" w14:textId="77777777" w:rsidR="003953ED" w:rsidRPr="002D228D" w:rsidRDefault="00F7443B" w:rsidP="003953ED">
      <w:pPr>
        <w:jc w:val="both"/>
        <w:rPr>
          <w:rFonts w:eastAsia="Times New Roman" w:cstheme="minorHAnsi"/>
          <w:color w:val="000000"/>
          <w:lang w:eastAsia="en-GB"/>
        </w:rPr>
      </w:pPr>
      <w:hyperlink r:id="rId7" w:history="1">
        <w:r w:rsidR="003953ED" w:rsidRPr="002D228D">
          <w:rPr>
            <w:rFonts w:eastAsia="Times New Roman" w:cstheme="minorHAnsi"/>
            <w:color w:val="0000FF"/>
            <w:u w:val="single"/>
            <w:lang w:eastAsia="en-GB"/>
          </w:rPr>
          <w:t>Guy@elephantcommunications.co.uk</w:t>
        </w:r>
      </w:hyperlink>
    </w:p>
    <w:p w14:paraId="21E71978" w14:textId="77777777" w:rsidR="003953ED" w:rsidRPr="002D228D" w:rsidRDefault="00F7443B" w:rsidP="003953ED">
      <w:pPr>
        <w:jc w:val="both"/>
        <w:rPr>
          <w:rFonts w:eastAsia="Times New Roman" w:cstheme="minorHAnsi"/>
          <w:color w:val="000000"/>
          <w:lang w:eastAsia="en-GB"/>
        </w:rPr>
      </w:pPr>
      <w:hyperlink r:id="rId8" w:history="1">
        <w:r w:rsidR="003953ED" w:rsidRPr="002D228D">
          <w:rPr>
            <w:rFonts w:eastAsia="Times New Roman" w:cstheme="minorHAnsi"/>
            <w:color w:val="0000FF"/>
            <w:u w:val="single"/>
            <w:lang w:eastAsia="en-GB"/>
          </w:rPr>
          <w:t>jim@elephantcommunications.co.uk</w:t>
        </w:r>
      </w:hyperlink>
    </w:p>
    <w:p w14:paraId="39C8D96D" w14:textId="77777777" w:rsidR="003953ED" w:rsidRPr="002D228D" w:rsidRDefault="003953ED" w:rsidP="003953ED">
      <w:pPr>
        <w:rPr>
          <w:rFonts w:ascii="Calibri" w:hAnsi="Calibri" w:cs="Calibri"/>
        </w:rPr>
      </w:pPr>
    </w:p>
    <w:p w14:paraId="5509ABD8" w14:textId="16FA2761" w:rsidR="003953ED" w:rsidRPr="002D228D" w:rsidRDefault="003953ED" w:rsidP="003953ED">
      <w:pPr>
        <w:rPr>
          <w:rFonts w:ascii="Calibri" w:hAnsi="Calibri" w:cs="Calibri"/>
          <w:b/>
          <w:bCs/>
        </w:rPr>
      </w:pPr>
      <w:r w:rsidRPr="002D228D">
        <w:rPr>
          <w:rFonts w:ascii="Calibri" w:hAnsi="Calibri" w:cs="Calibri"/>
          <w:b/>
          <w:bCs/>
        </w:rPr>
        <w:t>Notes to editor:</w:t>
      </w:r>
    </w:p>
    <w:p w14:paraId="6F1269BD" w14:textId="77777777" w:rsidR="003953ED" w:rsidRPr="0065603B" w:rsidRDefault="003953ED" w:rsidP="003953ED">
      <w:pPr>
        <w:jc w:val="both"/>
        <w:rPr>
          <w:rFonts w:ascii="Calibri" w:hAnsi="Calibri" w:cs="Calibri"/>
        </w:rPr>
      </w:pPr>
      <w:r w:rsidRPr="002D228D">
        <w:rPr>
          <w:rFonts w:ascii="Calibri" w:hAnsi="Calibri" w:cs="Calibri"/>
        </w:rPr>
        <w:t>The research was conducted by Sago research among a nationally representative sample of 2,1</w:t>
      </w:r>
      <w:r>
        <w:rPr>
          <w:rFonts w:ascii="Calibri" w:hAnsi="Calibri" w:cs="Calibri"/>
        </w:rPr>
        <w:t>51</w:t>
      </w:r>
      <w:r w:rsidRPr="002D228D">
        <w:rPr>
          <w:rFonts w:ascii="Calibri" w:hAnsi="Calibri" w:cs="Calibri"/>
        </w:rPr>
        <w:t xml:space="preserve"> adults in </w:t>
      </w:r>
      <w:r>
        <w:rPr>
          <w:rFonts w:ascii="Calibri" w:hAnsi="Calibri" w:cs="Calibri"/>
        </w:rPr>
        <w:t>June</w:t>
      </w:r>
      <w:r w:rsidRPr="002D228D">
        <w:rPr>
          <w:rFonts w:ascii="Calibri" w:hAnsi="Calibri" w:cs="Calibri"/>
        </w:rPr>
        <w:t xml:space="preserve"> 2023. The research was conducted online. </w:t>
      </w:r>
    </w:p>
    <w:p w14:paraId="0004DE04" w14:textId="77777777" w:rsidR="003953ED" w:rsidRDefault="003953ED" w:rsidP="003953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306F638F" w14:textId="27338F15" w:rsidR="003953ED" w:rsidRPr="002D228D" w:rsidRDefault="003953ED" w:rsidP="003953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2D228D">
        <w:rPr>
          <w:rFonts w:ascii="Calibri" w:hAnsi="Calibri" w:cs="Calibri"/>
          <w:b/>
          <w:bCs/>
        </w:rPr>
        <w:t>About the DNS Resea</w:t>
      </w:r>
      <w:r>
        <w:rPr>
          <w:rFonts w:ascii="Calibri" w:hAnsi="Calibri" w:cs="Calibri"/>
          <w:b/>
          <w:bCs/>
        </w:rPr>
        <w:t>r</w:t>
      </w:r>
      <w:r w:rsidRPr="002D228D">
        <w:rPr>
          <w:rFonts w:ascii="Calibri" w:hAnsi="Calibri" w:cs="Calibri"/>
          <w:b/>
          <w:bCs/>
        </w:rPr>
        <w:t>ch Federation</w:t>
      </w:r>
      <w:r>
        <w:rPr>
          <w:rFonts w:ascii="Calibri" w:hAnsi="Calibri" w:cs="Calibri"/>
          <w:b/>
          <w:bCs/>
        </w:rPr>
        <w:t>:</w:t>
      </w:r>
    </w:p>
    <w:p w14:paraId="3C4B2E01" w14:textId="77777777" w:rsidR="003953ED" w:rsidRPr="00D1460D" w:rsidRDefault="003953ED" w:rsidP="003953ED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1460D">
        <w:rPr>
          <w:rStyle w:val="ql-weight-normal"/>
          <w:rFonts w:ascii="Calibri" w:hAnsi="Calibri" w:cs="Calibri"/>
          <w:color w:val="000000"/>
          <w:bdr w:val="none" w:sz="0" w:space="0" w:color="auto" w:frame="1"/>
        </w:rPr>
        <w:t xml:space="preserve">The first organisation of its kind, The DNS Research Federation is a not-for-profit organisation that sits at the intersection of policy and technology. With a mission </w:t>
      </w:r>
      <w:r w:rsidRPr="00D1460D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to advance the understanding of the Domain Name System's impact on cybersecurity, policy and technical standards, the Federation </w:t>
      </w:r>
      <w:r w:rsidRPr="00D1460D">
        <w:rPr>
          <w:rStyle w:val="ql-weight-normal"/>
          <w:rFonts w:ascii="Calibri" w:hAnsi="Calibri" w:cs="Calibri"/>
          <w:color w:val="000000"/>
          <w:bdr w:val="none" w:sz="0" w:space="0" w:color="auto" w:frame="1"/>
        </w:rPr>
        <w:t>funds research, engages in technical standards, and brings technical tools and objective data relating to the internet's unique identifier systems - especially the DNS - to researchers, public safety and industry stakeholders.</w:t>
      </w:r>
      <w:r w:rsidRPr="00D1460D">
        <w:rPr>
          <w:rFonts w:ascii="Calibri" w:hAnsi="Calibri" w:cs="Calibri"/>
        </w:rPr>
        <w:t xml:space="preserve"> </w:t>
      </w:r>
    </w:p>
    <w:p w14:paraId="2B30BA06" w14:textId="77777777" w:rsidR="003953ED" w:rsidRPr="00D1460D" w:rsidRDefault="003953ED" w:rsidP="003953ED">
      <w:pPr>
        <w:pStyle w:val="NormalWeb"/>
        <w:spacing w:before="0" w:after="0"/>
        <w:jc w:val="both"/>
        <w:textAlignment w:val="baseline"/>
        <w:rPr>
          <w:rStyle w:val="ql-weight-normal"/>
          <w:rFonts w:ascii="Calibri" w:hAnsi="Calibri" w:cs="Calibri"/>
          <w:color w:val="000000"/>
          <w:bdr w:val="none" w:sz="0" w:space="0" w:color="auto" w:frame="1"/>
        </w:rPr>
      </w:pPr>
      <w:r w:rsidRPr="00D1460D">
        <w:rPr>
          <w:rStyle w:val="ql-weight-normal"/>
          <w:rFonts w:ascii="Calibri" w:hAnsi="Calibri" w:cs="Calibri"/>
          <w:color w:val="000000"/>
          <w:bdr w:val="none" w:sz="0" w:space="0" w:color="auto" w:frame="1"/>
        </w:rPr>
        <w:t>Exploring the linkages between traditional internet governance, the strategic importance of technical standards, and contemporary policy challenges, the DNS Research Federation connects up islands of scholarship and communities of expertise.</w:t>
      </w:r>
      <w:r w:rsidRPr="00D1460D">
        <w:rPr>
          <w:rFonts w:ascii="Calibri" w:hAnsi="Calibri" w:cs="Calibri"/>
        </w:rPr>
        <w:t xml:space="preserve"> The Federation gives a voice </w:t>
      </w:r>
      <w:r w:rsidRPr="00D1460D">
        <w:rPr>
          <w:rFonts w:ascii="Calibri" w:hAnsi="Calibri" w:cs="Calibri"/>
        </w:rPr>
        <w:lastRenderedPageBreak/>
        <w:t>to the data</w:t>
      </w:r>
      <w:r w:rsidRPr="00D1460D">
        <w:rPr>
          <w:rStyle w:val="ql-weight-normal"/>
          <w:rFonts w:ascii="Calibri" w:hAnsi="Calibri" w:cs="Calibri"/>
          <w:color w:val="000000"/>
          <w:bdr w:val="none" w:sz="0" w:space="0" w:color="auto" w:frame="1"/>
        </w:rPr>
        <w:t xml:space="preserve"> and </w:t>
      </w:r>
      <w:r w:rsidRPr="00D1460D">
        <w:rPr>
          <w:rFonts w:ascii="Calibri" w:hAnsi="Calibri" w:cs="Calibri"/>
        </w:rPr>
        <w:t>is inviting collaboration and partners</w:t>
      </w:r>
      <w:r>
        <w:rPr>
          <w:rFonts w:ascii="Calibri" w:hAnsi="Calibri" w:cs="Calibri"/>
        </w:rPr>
        <w:t>h</w:t>
      </w:r>
      <w:r w:rsidRPr="00D1460D">
        <w:rPr>
          <w:rFonts w:ascii="Calibri" w:hAnsi="Calibri" w:cs="Calibri"/>
        </w:rPr>
        <w:t>ip from key stakeholders from all aspects of the DNS ecosystem to participate as partners and supporters.</w:t>
      </w:r>
    </w:p>
    <w:p w14:paraId="3142EA7E" w14:textId="13AF5482" w:rsidR="006631BA" w:rsidRPr="003953ED" w:rsidRDefault="003953ED" w:rsidP="003953ED">
      <w:pPr>
        <w:pStyle w:val="NormalWeb"/>
        <w:spacing w:before="0" w:after="0"/>
        <w:jc w:val="center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2D228D">
        <w:rPr>
          <w:rStyle w:val="ql-weight-normal"/>
          <w:rFonts w:ascii="Calibri" w:hAnsi="Calibri" w:cs="Calibri"/>
          <w:color w:val="000000"/>
          <w:bdr w:val="none" w:sz="0" w:space="0" w:color="auto" w:frame="1"/>
        </w:rPr>
        <w:t>-ENDS-</w:t>
      </w:r>
    </w:p>
    <w:sectPr w:rsidR="006631BA" w:rsidRPr="003953ED" w:rsidSect="00FD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CA8C" w14:textId="77777777" w:rsidR="00910DC4" w:rsidRDefault="00910DC4" w:rsidP="00B43FE1">
      <w:r>
        <w:separator/>
      </w:r>
    </w:p>
  </w:endnote>
  <w:endnote w:type="continuationSeparator" w:id="0">
    <w:p w14:paraId="19DDCB62" w14:textId="77777777" w:rsidR="00910DC4" w:rsidRDefault="00910DC4" w:rsidP="00B4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6C40" w14:textId="77777777" w:rsidR="00910DC4" w:rsidRDefault="00910DC4" w:rsidP="00B43FE1">
      <w:r>
        <w:separator/>
      </w:r>
    </w:p>
  </w:footnote>
  <w:footnote w:type="continuationSeparator" w:id="0">
    <w:p w14:paraId="4D08CF51" w14:textId="77777777" w:rsidR="00910DC4" w:rsidRDefault="00910DC4" w:rsidP="00B43FE1">
      <w:r>
        <w:continuationSeparator/>
      </w:r>
    </w:p>
  </w:footnote>
  <w:footnote w:id="1">
    <w:p w14:paraId="2DB315CF" w14:textId="0222A5AE" w:rsidR="00B43FE1" w:rsidRPr="00ED746B" w:rsidRDefault="00B43FE1">
      <w:pPr>
        <w:pStyle w:val="FootnoteText"/>
        <w:rPr>
          <w:sz w:val="18"/>
          <w:szCs w:val="18"/>
        </w:rPr>
      </w:pPr>
      <w:r w:rsidRPr="00ED746B">
        <w:rPr>
          <w:rStyle w:val="FootnoteReference"/>
          <w:sz w:val="18"/>
          <w:szCs w:val="18"/>
        </w:rPr>
        <w:footnoteRef/>
      </w:r>
      <w:r w:rsidRPr="00ED746B">
        <w:rPr>
          <w:sz w:val="18"/>
          <w:szCs w:val="18"/>
        </w:rPr>
        <w:t xml:space="preserve"> https://www.statista.com/topics/3246/internet-usage-in-the-uk/#topicOverview</w:t>
      </w:r>
    </w:p>
  </w:footnote>
  <w:footnote w:id="2">
    <w:p w14:paraId="543BCA48" w14:textId="77777777" w:rsidR="00AA244B" w:rsidRPr="00ED746B" w:rsidRDefault="00AA244B" w:rsidP="00AA244B">
      <w:pPr>
        <w:pStyle w:val="FootnoteText"/>
        <w:rPr>
          <w:sz w:val="18"/>
          <w:szCs w:val="18"/>
        </w:rPr>
      </w:pPr>
      <w:r w:rsidRPr="00ED746B">
        <w:rPr>
          <w:rStyle w:val="FootnoteReference"/>
          <w:sz w:val="18"/>
          <w:szCs w:val="18"/>
        </w:rPr>
        <w:footnoteRef/>
      </w:r>
      <w:r w:rsidRPr="00ED746B">
        <w:rPr>
          <w:sz w:val="18"/>
          <w:szCs w:val="18"/>
        </w:rPr>
        <w:t xml:space="preserve"> https://www.trade.gov/country-commercial-guides/united-kingdom-ecommerce</w:t>
      </w:r>
    </w:p>
  </w:footnote>
  <w:footnote w:id="3">
    <w:p w14:paraId="7A5983B5" w14:textId="555D2F11" w:rsidR="00B43FE1" w:rsidRDefault="00B43FE1">
      <w:pPr>
        <w:pStyle w:val="FootnoteText"/>
      </w:pPr>
      <w:r w:rsidRPr="00ED746B">
        <w:rPr>
          <w:rStyle w:val="FootnoteReference"/>
          <w:sz w:val="18"/>
          <w:szCs w:val="18"/>
        </w:rPr>
        <w:footnoteRef/>
      </w:r>
      <w:r w:rsidRPr="00ED746B">
        <w:rPr>
          <w:sz w:val="18"/>
          <w:szCs w:val="18"/>
        </w:rPr>
        <w:t xml:space="preserve"> https://www.sellcompare.co.uk/resources/half-uk-children-mobile-phone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770"/>
    <w:multiLevelType w:val="hybridMultilevel"/>
    <w:tmpl w:val="65AE639E"/>
    <w:lvl w:ilvl="0" w:tplc="3F68DA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01"/>
    <w:rsid w:val="00036926"/>
    <w:rsid w:val="00080D31"/>
    <w:rsid w:val="000A262B"/>
    <w:rsid w:val="000A5FE9"/>
    <w:rsid w:val="000C24CD"/>
    <w:rsid w:val="000C72E7"/>
    <w:rsid w:val="000E4592"/>
    <w:rsid w:val="00101E98"/>
    <w:rsid w:val="0011571D"/>
    <w:rsid w:val="001E60F7"/>
    <w:rsid w:val="00233E85"/>
    <w:rsid w:val="00274A8D"/>
    <w:rsid w:val="002E2C3C"/>
    <w:rsid w:val="002F66EB"/>
    <w:rsid w:val="00387191"/>
    <w:rsid w:val="00391339"/>
    <w:rsid w:val="003953ED"/>
    <w:rsid w:val="0041217B"/>
    <w:rsid w:val="004453CE"/>
    <w:rsid w:val="00511C0A"/>
    <w:rsid w:val="00566390"/>
    <w:rsid w:val="00581085"/>
    <w:rsid w:val="005A7C69"/>
    <w:rsid w:val="005E20E4"/>
    <w:rsid w:val="005F69F2"/>
    <w:rsid w:val="006603F8"/>
    <w:rsid w:val="006631BA"/>
    <w:rsid w:val="00680606"/>
    <w:rsid w:val="006C1730"/>
    <w:rsid w:val="006F279E"/>
    <w:rsid w:val="00710247"/>
    <w:rsid w:val="007653D2"/>
    <w:rsid w:val="00776DB8"/>
    <w:rsid w:val="008046F6"/>
    <w:rsid w:val="008845CD"/>
    <w:rsid w:val="008C3C89"/>
    <w:rsid w:val="009017D0"/>
    <w:rsid w:val="00910DC4"/>
    <w:rsid w:val="00952AE5"/>
    <w:rsid w:val="009857A1"/>
    <w:rsid w:val="009B7703"/>
    <w:rsid w:val="00A0249D"/>
    <w:rsid w:val="00A06859"/>
    <w:rsid w:val="00A45C7F"/>
    <w:rsid w:val="00A63CFC"/>
    <w:rsid w:val="00A92999"/>
    <w:rsid w:val="00AA244B"/>
    <w:rsid w:val="00B05830"/>
    <w:rsid w:val="00B13FA0"/>
    <w:rsid w:val="00B43FE1"/>
    <w:rsid w:val="00B52F9A"/>
    <w:rsid w:val="00B54B31"/>
    <w:rsid w:val="00B7094E"/>
    <w:rsid w:val="00B87E7A"/>
    <w:rsid w:val="00BA4D9C"/>
    <w:rsid w:val="00C46689"/>
    <w:rsid w:val="00C87257"/>
    <w:rsid w:val="00CE396F"/>
    <w:rsid w:val="00CF7D64"/>
    <w:rsid w:val="00D626C2"/>
    <w:rsid w:val="00DA1A51"/>
    <w:rsid w:val="00E601F5"/>
    <w:rsid w:val="00E94A6F"/>
    <w:rsid w:val="00EC452E"/>
    <w:rsid w:val="00ED746B"/>
    <w:rsid w:val="00EF4C01"/>
    <w:rsid w:val="00EF6728"/>
    <w:rsid w:val="00F600E7"/>
    <w:rsid w:val="00F7443B"/>
    <w:rsid w:val="00FB441E"/>
    <w:rsid w:val="00FB459D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DD17"/>
  <w15:chartTrackingRefBased/>
  <w15:docId w15:val="{6D5FAAC3-EDF6-5245-9E5A-DD2DA6C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85"/>
    <w:pPr>
      <w:ind w:left="720"/>
      <w:contextualSpacing/>
    </w:pPr>
  </w:style>
  <w:style w:type="table" w:styleId="TableGrid">
    <w:name w:val="Table Grid"/>
    <w:basedOn w:val="TableNormal"/>
    <w:uiPriority w:val="39"/>
    <w:rsid w:val="002E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3FE1"/>
  </w:style>
  <w:style w:type="character" w:styleId="Hyperlink">
    <w:name w:val="Hyperlink"/>
    <w:basedOn w:val="DefaultParagraphFont"/>
    <w:uiPriority w:val="99"/>
    <w:semiHidden/>
    <w:unhideWhenUsed/>
    <w:rsid w:val="00B43FE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F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F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953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ql-weight-normal">
    <w:name w:val="ql-weight-normal"/>
    <w:basedOn w:val="DefaultParagraphFont"/>
    <w:rsid w:val="003953ED"/>
  </w:style>
  <w:style w:type="paragraph" w:styleId="Revision">
    <w:name w:val="Revision"/>
    <w:hidden/>
    <w:uiPriority w:val="99"/>
    <w:semiHidden/>
    <w:rsid w:val="0095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ima@elephantcommunicati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y@elephantcommunica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Miles</cp:lastModifiedBy>
  <cp:revision>3</cp:revision>
  <dcterms:created xsi:type="dcterms:W3CDTF">2023-10-02T10:33:00Z</dcterms:created>
  <dcterms:modified xsi:type="dcterms:W3CDTF">2023-10-02T10:34:00Z</dcterms:modified>
</cp:coreProperties>
</file>